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3ED" w:rsidRPr="00793145" w:rsidRDefault="00793145">
      <w:pPr>
        <w:spacing w:after="0" w:line="24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proofErr w:type="spellStart"/>
      <w:r w:rsidRPr="00793145">
        <w:rPr>
          <w:rFonts w:ascii="Sylfaen" w:eastAsia="Arial Unicode MS" w:hAnsi="Sylfaen" w:cs="Arial Unicode MS"/>
          <w:b/>
          <w:sz w:val="28"/>
          <w:szCs w:val="28"/>
        </w:rPr>
        <w:t>გრიფირების</w:t>
      </w:r>
      <w:proofErr w:type="spellEnd"/>
      <w:r w:rsidRPr="00793145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proofErr w:type="spellStart"/>
      <w:r w:rsidRPr="00793145">
        <w:rPr>
          <w:rFonts w:ascii="Sylfaen" w:eastAsia="Arial Unicode MS" w:hAnsi="Sylfaen" w:cs="Arial Unicode MS"/>
          <w:b/>
          <w:sz w:val="28"/>
          <w:szCs w:val="28"/>
        </w:rPr>
        <w:t>განაცხადის</w:t>
      </w:r>
      <w:proofErr w:type="spellEnd"/>
      <w:r w:rsidRPr="00793145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proofErr w:type="spellStart"/>
      <w:r w:rsidRPr="00793145">
        <w:rPr>
          <w:rFonts w:ascii="Sylfaen" w:eastAsia="Arial Unicode MS" w:hAnsi="Sylfaen" w:cs="Arial Unicode MS"/>
          <w:b/>
          <w:sz w:val="28"/>
          <w:szCs w:val="28"/>
        </w:rPr>
        <w:t>რეკვიზიტები</w:t>
      </w:r>
      <w:bookmarkStart w:id="0" w:name="_GoBack"/>
      <w:bookmarkEnd w:id="0"/>
      <w:proofErr w:type="spellEnd"/>
    </w:p>
    <w:tbl>
      <w:tblPr>
        <w:tblStyle w:val="a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A53ED" w:rsidRPr="00793145">
        <w:tc>
          <w:tcPr>
            <w:tcW w:w="10790" w:type="dxa"/>
            <w:shd w:val="clear" w:color="auto" w:fill="9CC3E5"/>
          </w:tcPr>
          <w:p w:rsidR="00BA53ED" w:rsidRPr="00793145" w:rsidRDefault="00793145">
            <w:pPr>
              <w:keepNext/>
              <w:keepLines/>
              <w:numPr>
                <w:ilvl w:val="0"/>
                <w:numId w:val="1"/>
              </w:numPr>
              <w:tabs>
                <w:tab w:val="left" w:pos="283"/>
              </w:tabs>
              <w:ind w:hanging="36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განმცხადებლისა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მისი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წარმომადგენლის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BA53ED" w:rsidRPr="00793145" w:rsidRDefault="00BA53ED">
            <w:pPr>
              <w:keepNext/>
              <w:keepLines/>
              <w:tabs>
                <w:tab w:val="left" w:pos="283"/>
              </w:tabs>
              <w:ind w:left="720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BA53ED" w:rsidRPr="00793145">
        <w:tc>
          <w:tcPr>
            <w:tcW w:w="10790" w:type="dxa"/>
          </w:tcPr>
          <w:p w:rsidR="00BA53ED" w:rsidRPr="00793145" w:rsidRDefault="00793145">
            <w:pPr>
              <w:keepNext/>
              <w:keepLines/>
              <w:numPr>
                <w:ilvl w:val="1"/>
                <w:numId w:val="2"/>
              </w:numPr>
              <w:tabs>
                <w:tab w:val="left" w:pos="283"/>
              </w:tabs>
              <w:ind w:hanging="360"/>
              <w:jc w:val="both"/>
              <w:rPr>
                <w:rFonts w:ascii="Sylfaen" w:eastAsia="Merriweather" w:hAnsi="Sylfaen" w:cs="Merriweather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ფიზიკური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: </w:t>
            </w:r>
          </w:p>
          <w:p w:rsidR="00BA53ED" w:rsidRPr="00793145" w:rsidRDefault="00793145">
            <w:pPr>
              <w:keepNext/>
              <w:keepLines/>
              <w:numPr>
                <w:ilvl w:val="2"/>
                <w:numId w:val="2"/>
              </w:numPr>
              <w:tabs>
                <w:tab w:val="left" w:pos="283"/>
              </w:tabs>
              <w:ind w:hanging="720"/>
              <w:jc w:val="both"/>
              <w:rPr>
                <w:rFonts w:ascii="Sylfaen" w:eastAsia="Merriweather" w:hAnsi="Sylfaen" w:cs="Merriweather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პირადად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წარდგენის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: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720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1.1.1.1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გვარი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პირადი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№;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ფაქტობრივი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საცხოვრებელი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ადგილი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საკონტაქტო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ტელეფონი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ალტერნატიული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720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1.1.1.2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პირადობის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მოწმობის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დამადასტურებელი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ასლი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PDF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ფორმატში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850" w:hanging="850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1.1.2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მეშვეობით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წარდგენის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: 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850" w:hanging="155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1.1.2.1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წარმომადგენლობაზე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უფლებამოსილი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გვარი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პირადი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№;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ფაქტობრივი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საცხოვრებელი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ადგილი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საკონტაქტო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ტელეფონი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ალტერნატიული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850" w:hanging="155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1.1.2.2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წარმომადგენლობაზე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უფლებამოსილების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დამადასტურებელი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850" w:hanging="155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1.1.2.3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პირადობის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მოწმობის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დამადასტურებელი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ასლი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850" w:hanging="850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1.1.3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შესახებ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სურვილის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).</w:t>
            </w:r>
          </w:p>
        </w:tc>
      </w:tr>
      <w:tr w:rsidR="00BA53ED" w:rsidRPr="00793145">
        <w:tc>
          <w:tcPr>
            <w:tcW w:w="10790" w:type="dxa"/>
          </w:tcPr>
          <w:p w:rsidR="00BA53ED" w:rsidRPr="00793145" w:rsidRDefault="00793145">
            <w:pPr>
              <w:keepNext/>
              <w:keepLines/>
              <w:numPr>
                <w:ilvl w:val="1"/>
                <w:numId w:val="1"/>
              </w:numPr>
              <w:tabs>
                <w:tab w:val="left" w:pos="283"/>
              </w:tabs>
              <w:ind w:left="335" w:hanging="27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იურიდიული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:</w:t>
            </w:r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</w:p>
          <w:p w:rsidR="00BA53ED" w:rsidRPr="00793145" w:rsidRDefault="00793145">
            <w:pPr>
              <w:keepNext/>
              <w:keepLines/>
              <w:numPr>
                <w:ilvl w:val="2"/>
                <w:numId w:val="1"/>
              </w:numPr>
              <w:tabs>
                <w:tab w:val="left" w:pos="283"/>
              </w:tabs>
              <w:ind w:left="515" w:hanging="45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იურიდიული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მისამართი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სათაო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ოფისის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საკონტაქტო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ტელეფონი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ალტერნატიული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720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1.2.1.1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მეწარმეთა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არასამეწარმეო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არაკომერციული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იურიდიული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რეესტრის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ამონაწერი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850" w:hanging="155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1.2.1.2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რომ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ხორციელდება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იურიდიული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რეორგანიზაცია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ან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ლიკვიდაცია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ქონებას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ადევს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ყადაღა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აკრძალვა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.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); 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1.2.2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წარმომადგენლობაზე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უფლებამოსილი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გვარი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პირადი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№;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ფაქტობრივი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საცხოვრებელი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ადგილი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საკონტაქტო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ტელეფონი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ალტერნატიული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1145" w:hanging="450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1.2.2.1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წარმომადგენლობაზე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უფლებამოსილების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დამადასტურებელი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); 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firstLine="695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1.2.2.2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პირადობის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მოწმობის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დამადასტურებელი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ასლი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).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850" w:hanging="850"/>
              <w:contextualSpacing w:val="0"/>
              <w:jc w:val="both"/>
              <w:rPr>
                <w:rFonts w:ascii="Sylfaen" w:eastAsia="Merriweather" w:hAnsi="Sylfaen" w:cs="Merriweather"/>
                <w:color w:val="FF0000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1.2.3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შესახებ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სურვილისამებრ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).</w:t>
            </w:r>
          </w:p>
        </w:tc>
      </w:tr>
      <w:tr w:rsidR="00BA53ED" w:rsidRPr="00793145">
        <w:tc>
          <w:tcPr>
            <w:tcW w:w="10790" w:type="dxa"/>
          </w:tcPr>
          <w:p w:rsidR="00BA53ED" w:rsidRPr="00793145" w:rsidRDefault="00793145">
            <w:pPr>
              <w:keepNext/>
              <w:keepLines/>
              <w:numPr>
                <w:ilvl w:val="1"/>
                <w:numId w:val="1"/>
              </w:numPr>
              <w:tabs>
                <w:tab w:val="left" w:pos="283"/>
              </w:tabs>
              <w:ind w:left="-295" w:firstLine="27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არარეზიდენტი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იურიდიული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: </w:t>
            </w:r>
          </w:p>
          <w:p w:rsidR="00BA53ED" w:rsidRPr="00793145" w:rsidRDefault="00793145">
            <w:pPr>
              <w:keepNext/>
              <w:keepLines/>
              <w:numPr>
                <w:ilvl w:val="2"/>
                <w:numId w:val="1"/>
              </w:numPr>
              <w:tabs>
                <w:tab w:val="left" w:pos="283"/>
              </w:tabs>
              <w:ind w:left="515" w:hanging="51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იურიდიული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</w:t>
            </w:r>
            <w:proofErr w:type="spellEnd"/>
            <w:proofErr w:type="gram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მისამართი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სათაო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ოფისის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საკონტაქტო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ტელეფონი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ალტერნატიული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695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1.3.1.1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რეგისტრაციის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ქვეყნის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უფლებამოსილი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ორგანოდან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გაცემული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ცნობა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ნოტარიულად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დამოწმებულ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ქართულ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თარგმანთან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ერთად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რეგისტრაციის</w:t>
            </w:r>
            <w:proofErr w:type="spellEnd"/>
            <w:proofErr w:type="gram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ფაქტის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ასევე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შესახებ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რომ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ხორციელდება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არარეზიდენტი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იურიდიული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სათაო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ოფისის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რეორგანიზაცია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ან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ლიკვიდაცია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ქონებას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ადევს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ყადაღა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აკრძალვა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515" w:hanging="515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1.3.2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წარმომადგენლობაზე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უფლებამოსილი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სახელი-გვარი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პირადი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№;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ფაქტობრივი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საცხოვრებელი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ადგილი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საკონტაქტო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ტელეფონი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ალტერნატიული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ელ-ფოსტა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).</w:t>
            </w:r>
          </w:p>
          <w:p w:rsidR="00BA53ED" w:rsidRPr="00793145" w:rsidRDefault="00793145">
            <w:pPr>
              <w:keepNext/>
              <w:keepLines/>
              <w:tabs>
                <w:tab w:val="left" w:pos="695"/>
              </w:tabs>
              <w:ind w:left="965" w:hanging="270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1.3.2.1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ქვეყნის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კანონმდებლობის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შედგენილი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წარმომადგენლობაზე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უფლებამოსილების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დამადასტურებელი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ნოტარიულად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დამოწმებულ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ქართულ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თარგმანთან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ერთად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);   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850" w:hanging="245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1.3.2.2.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წარმომადგენლობაზე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უფლებამოსილი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პირადობის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დამადასტურებელი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ასლი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არარეზიდენტი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ნოტარიულად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დამოწმებულ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ქართულ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თარგმანთან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ერთად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);   </w:t>
            </w:r>
          </w:p>
          <w:p w:rsidR="00BA53ED" w:rsidRPr="00793145" w:rsidRDefault="00793145">
            <w:pPr>
              <w:keepNext/>
              <w:keepLines/>
              <w:tabs>
                <w:tab w:val="left" w:pos="283"/>
              </w:tabs>
              <w:ind w:left="360" w:hanging="360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1.3.3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შესახებ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სურვილის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</w:tc>
      </w:tr>
      <w:tr w:rsidR="00BA53ED" w:rsidRPr="00793145">
        <w:tc>
          <w:tcPr>
            <w:tcW w:w="10790" w:type="dxa"/>
            <w:shd w:val="clear" w:color="auto" w:fill="9CC3E5"/>
          </w:tcPr>
          <w:p w:rsidR="00BA53ED" w:rsidRPr="00793145" w:rsidRDefault="00793145">
            <w:pPr>
              <w:keepNext/>
              <w:keepLines/>
              <w:numPr>
                <w:ilvl w:val="0"/>
                <w:numId w:val="1"/>
              </w:numPr>
              <w:tabs>
                <w:tab w:val="left" w:pos="283"/>
              </w:tabs>
              <w:ind w:hanging="36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წარმომადგენლის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თანხმობა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დასტური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მასზედ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რომ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:</w:t>
            </w:r>
          </w:p>
          <w:p w:rsidR="00BA53ED" w:rsidRPr="00793145" w:rsidRDefault="00BA53ED">
            <w:pPr>
              <w:keepNext/>
              <w:keepLines/>
              <w:tabs>
                <w:tab w:val="left" w:pos="283"/>
              </w:tabs>
              <w:ind w:left="720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BA53ED" w:rsidRPr="00793145">
        <w:tc>
          <w:tcPr>
            <w:tcW w:w="10790" w:type="dxa"/>
          </w:tcPr>
          <w:p w:rsidR="00793145" w:rsidRPr="00793145" w:rsidRDefault="00793145" w:rsidP="00793145">
            <w:pPr>
              <w:widowControl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ეთანხმება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მინისტრის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2017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16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თებერვლის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N28/ნ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ბრძანებით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დამტკიცებული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ზოგადსაგანმანათლებლო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წესის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“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lastRenderedPageBreak/>
              <w:t>პირობებს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აცხადებს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რომ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მიმდინარეობისას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ისევე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როგორც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მოქმედების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თუკი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მიერ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წარმოდგენილ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მიენიჭება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მთელი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პერიოდის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განმავლობაში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დაიცავს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წესის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მოთხოვნებს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ბ)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თანახმაა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სამინისტრომ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ან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სააგენტომ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გადაამოწმოს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მიერ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გრიფის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მისანიჭებლად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წარმოდგენილ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განაცხადში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ანკეტაში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შესაბამის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დოკუმენტებსა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მასალებში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მითითებული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ინფორმაციის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სისწორე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შეუსაბამობის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დადასტურების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−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მიღებულ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იქნეს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გადაწყვეტილება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გრიფის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მინიჭების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ან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სალიცენზიო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ხელშეკრულების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გაფორმებაზე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უარის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თქმის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შესახებ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გ)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თანახმაა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მისაღებად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მიერ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წარმოდგენილი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დანართები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დასრულების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შემდეგაც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დარჩეს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სამინისტროში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საქმისწარმოების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წესებით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გათვალისწინებული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ვადით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დ)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თანახმაა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მიერ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წარმოდგენილი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სახელმძღვანელოსათვის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სერიისათვის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მინიჭების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სალიცენზიო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ხელშეკრულებით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ანაზღაურების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სანაცვლოდ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სააგენტოს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გადასცეს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აღნიშნული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გრიფმინიჭებული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ჩვეულებრივი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ლიცენზიით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სარგებლობის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კერძოდ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: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რეპროდუცირების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გავრცელების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მფლობელობის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ფორმით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გადაცემის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ნაწარმოების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სხვაგვარი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გამოყენების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ე)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თანახმაა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საჯარო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განხილვის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მიზნით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სამინისტრომ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გაასაჯაროვოს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მაკეტი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ანონიმური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ეგზემპლარი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); 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ვ)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თანახმაა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მიერ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წარმოდგენილი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სახელმძღვანელოსათვის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სერიისათვის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მინიჭების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სამინისტროს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დაინტერესებისას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ითანამშრომლოს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სააგენტოსთან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გრიფმინიჭებული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გადამუშავების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დაკვეთის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შესასრულებლად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ხოლო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დაკვეთის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შესრულების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შეუძლებლობის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−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ჩვეულებრივი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ლიცენზიის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ხელშეკრულებით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მიზნობრივად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გადასცეს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სააგენტოს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მიერ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შერჩეულ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მესამე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ზ)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თანახმაა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მიერ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წარმოდგენილი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სახელმძღვანელოსათვის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სერიისათვის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მინიჭების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საჯარო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სკოლების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მასწავლებლებისათვის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ხელმისაწვდომი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გახდეს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მასწავლებლის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წიგნი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ფორმატში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მასწავლებლის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წიგნის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ელექტრონული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რესურსი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ასეთის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არსებობის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; 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თ)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თანახმაა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ანონიმურ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ეგზემპლარში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ანონიმურობის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დარღვევის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ფაქტის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გამოვლენის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საფუძველზე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სამინისტრომ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მიიღოს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გადაწყვეტილება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დაკმაყოფილებაზე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უარის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თქმის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შესახებ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მხედველობაში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იღებს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რომ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შედეგად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შემდგომ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ეტაპზე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უფლებას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კარგავს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ი)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წარდგენის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მომენტში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იმყოფება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ინტერესთა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კონფლიქტში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განმავლობაში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საკითხის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მიმართ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იხელმძღვანელებს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კეთილსინდისიერებისა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თანამშრომლობის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პრინციპებით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5.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მონაწილეობის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მისაღებად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გარდა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მუხლით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დადგენილი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დოკუმენტაციისა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მასალებისა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სავალდებულოა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ერთდროულად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აკმაყოფილებდეს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შემდეგ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პირობებს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: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ა)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თითოეული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−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წიგნი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რვეული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რესურსი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წიგნისათვის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უნდა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იყოს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განკუთვნილი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საგნის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ერთი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კლასისთვის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აღნიშნული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შეზღუდვა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ვრცელდება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მასწავლებლის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წიგნზე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მასწავლებლის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რესურსზე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პირველი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კლასის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უცხოური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საგნის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მაკეტზე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დასაშვებია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ერთი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შეესაბამებოდეს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ერთდროულად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არაუმეტეს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ორ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კლასს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ბ)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წარმოდგენილი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უნდა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იყოს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შესარჩევი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ერთეულების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გ)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წარმოდგენის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მინიჭებისთვის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დადგენილ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მოთხოვნებს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უნდა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აკმაყოფილებდეს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მასში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შემავალი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თითოეული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დ)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გრიფირებისათვის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წარმოდგენილი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უნდა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შეიცავდეს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(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ნებისმიერი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ფორმით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)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მითითებას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ან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მოთხოვნას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იმ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საგანმანათლებლო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რესურსის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შესახებ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რომელიც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შექმნილია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ან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მომავალში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შეიქმნება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გრიფირებისთვის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წარმოსადგენი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მაკეტის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კომპლექტს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მიღმადა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მისი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გამოუყენებლობა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შექმნის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სირთულეებს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გრიფმინიჭებული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დამოუკიდებლად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გამოყენებისა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სასწავლო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პროცესის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წარმართვის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საკითხში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ე)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სამინისტროში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რეგისტრაციის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დროისათვის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უნდა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მიმდინარეობდეს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საავტორო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უფლების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lastRenderedPageBreak/>
              <w:t>მფლობელი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იურიდიული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რეორგანიზაცია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ან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ლიკვიდაცია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;</w:t>
            </w:r>
          </w:p>
          <w:p w:rsidR="00793145" w:rsidRPr="00793145" w:rsidRDefault="00793145" w:rsidP="00793145">
            <w:pPr>
              <w:widowControl/>
              <w:ind w:firstLine="28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ვ)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</w:t>
            </w:r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მოსწავლისა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მასწავლებლის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წიგნებს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)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უნდა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მიეთითოს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აქტიური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უსაფრთხო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სანდო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ინფორმაციის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შემცველი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სპეციალური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ვებგვერდი</w:t>
            </w:r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მისამართი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რომელზეც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განთავსდება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გრიფმინიჭებული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მასწავლებლის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წიგნი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ელექტორნული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რესურსი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მასწავლებლის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ან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მოსწავლის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წიგნისათვის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ასეთის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არსებობის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შემთხვევაში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)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სხვა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საგანმანათლებლო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რესურსი</w:t>
            </w:r>
            <w:proofErr w:type="spellEnd"/>
            <w:r w:rsidRPr="00793145">
              <w:rPr>
                <w:rFonts w:ascii="Sylfaen" w:eastAsia="Merriweather" w:hAnsi="Sylfaen" w:cs="Merriweather"/>
                <w:sz w:val="20"/>
                <w:szCs w:val="20"/>
              </w:rPr>
              <w:t>.</w:t>
            </w:r>
          </w:p>
          <w:p w:rsidR="00BA53ED" w:rsidRPr="00793145" w:rsidRDefault="00BA53ED" w:rsidP="00793145">
            <w:pPr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BA53ED" w:rsidRPr="00793145">
        <w:tc>
          <w:tcPr>
            <w:tcW w:w="10790" w:type="dxa"/>
            <w:shd w:val="clear" w:color="auto" w:fill="9CC3E5"/>
          </w:tcPr>
          <w:p w:rsidR="00BA53ED" w:rsidRPr="00793145" w:rsidRDefault="00793145">
            <w:pPr>
              <w:numPr>
                <w:ilvl w:val="0"/>
                <w:numId w:val="1"/>
              </w:numPr>
              <w:ind w:hanging="36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lastRenderedPageBreak/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გარანტორის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BA53ED" w:rsidRPr="00793145" w:rsidRDefault="00BA53ED">
            <w:pPr>
              <w:ind w:left="720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BA53ED" w:rsidRPr="00793145">
        <w:tc>
          <w:tcPr>
            <w:tcW w:w="10790" w:type="dxa"/>
          </w:tcPr>
          <w:p w:rsidR="00BA53ED" w:rsidRPr="00793145" w:rsidRDefault="00793145">
            <w:pPr>
              <w:keepNext/>
              <w:keepLines/>
              <w:tabs>
                <w:tab w:val="left" w:pos="283"/>
              </w:tabs>
              <w:contextualSpacing w:val="0"/>
              <w:jc w:val="both"/>
              <w:rPr>
                <w:rFonts w:ascii="Sylfaen" w:eastAsia="Merriweather" w:hAnsi="Sylfaen" w:cs="Merriweather"/>
                <w:b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მითითება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არჩევანი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სააგენტოს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მიერ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სამი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დამოუკიდებელი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იურიდიული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პირიდან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ერთ-ერთის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შესახებ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</w:tc>
      </w:tr>
      <w:tr w:rsidR="00BA53ED" w:rsidRPr="00793145">
        <w:tc>
          <w:tcPr>
            <w:tcW w:w="10790" w:type="dxa"/>
            <w:shd w:val="clear" w:color="auto" w:fill="9CC3E5"/>
          </w:tcPr>
          <w:p w:rsidR="00BA53ED" w:rsidRPr="00793145" w:rsidRDefault="00793145">
            <w:pPr>
              <w:numPr>
                <w:ilvl w:val="0"/>
                <w:numId w:val="1"/>
              </w:numPr>
              <w:ind w:hanging="36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გრიფირების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საფასურის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გადახდის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</w:p>
          <w:p w:rsidR="00BA53ED" w:rsidRPr="00793145" w:rsidRDefault="00BA53ED">
            <w:pPr>
              <w:ind w:left="720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BA53ED" w:rsidRPr="00793145">
        <w:tc>
          <w:tcPr>
            <w:tcW w:w="10790" w:type="dxa"/>
          </w:tcPr>
          <w:p w:rsidR="00BA53ED" w:rsidRPr="00793145" w:rsidRDefault="00793145">
            <w:pPr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საფასურის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გადახდის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დამადასტურებელი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ატვირთული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).</w:t>
            </w:r>
          </w:p>
        </w:tc>
      </w:tr>
      <w:tr w:rsidR="00BA53ED" w:rsidRPr="00793145">
        <w:tc>
          <w:tcPr>
            <w:tcW w:w="10790" w:type="dxa"/>
            <w:shd w:val="clear" w:color="auto" w:fill="9CC3E5"/>
          </w:tcPr>
          <w:p w:rsidR="00BA53ED" w:rsidRPr="00793145" w:rsidRDefault="00793145">
            <w:pPr>
              <w:numPr>
                <w:ilvl w:val="0"/>
                <w:numId w:val="1"/>
              </w:numPr>
              <w:ind w:hanging="36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განაცხადის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სხვა</w:t>
            </w:r>
            <w:proofErr w:type="spellEnd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რეკვიზიტები</w:t>
            </w:r>
            <w:proofErr w:type="spellEnd"/>
          </w:p>
          <w:p w:rsidR="00BA53ED" w:rsidRPr="00793145" w:rsidRDefault="00BA53ED">
            <w:pPr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BA53ED" w:rsidRPr="00793145">
        <w:tc>
          <w:tcPr>
            <w:tcW w:w="10790" w:type="dxa"/>
          </w:tcPr>
          <w:p w:rsidR="00BA53ED" w:rsidRPr="00793145" w:rsidRDefault="00793145">
            <w:pPr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5.1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იმ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ადმინისტრაციული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ორგანოს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რომელსაც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მიმართავს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განმცხადებელი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სამინისტრო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BA53ED" w:rsidRPr="00793145" w:rsidRDefault="00793145">
            <w:pPr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5.2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მოთხოვნა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კონკრეტული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მაკეტისთვის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გრიფის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მინიჭება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BA53ED" w:rsidRPr="00793145" w:rsidRDefault="00793145">
            <w:pPr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5.3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განაცხადის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წარგდენის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თარიღი</w:t>
            </w:r>
            <w:proofErr w:type="spellEnd"/>
            <w:r w:rsidRPr="00793145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</w:tc>
      </w:tr>
    </w:tbl>
    <w:p w:rsidR="00BA53ED" w:rsidRPr="00793145" w:rsidRDefault="00BA53ED">
      <w:pPr>
        <w:spacing w:after="0" w:line="240" w:lineRule="auto"/>
        <w:rPr>
          <w:rFonts w:ascii="Sylfaen" w:eastAsia="Merriweather" w:hAnsi="Sylfaen" w:cs="Merriweather"/>
          <w:b/>
        </w:rPr>
      </w:pPr>
    </w:p>
    <w:p w:rsidR="00BA53ED" w:rsidRPr="00793145" w:rsidRDefault="00BA53ED">
      <w:pPr>
        <w:rPr>
          <w:rFonts w:ascii="Sylfaen" w:hAnsi="Sylfaen"/>
        </w:rPr>
      </w:pPr>
      <w:bookmarkStart w:id="1" w:name="_gjdgxs" w:colFirst="0" w:colLast="0"/>
      <w:bookmarkEnd w:id="1"/>
    </w:p>
    <w:sectPr w:rsidR="00BA53ED" w:rsidRPr="00793145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4B" w:rsidRDefault="00FD594B" w:rsidP="007271EC">
      <w:pPr>
        <w:spacing w:after="0" w:line="240" w:lineRule="auto"/>
      </w:pPr>
      <w:r>
        <w:separator/>
      </w:r>
    </w:p>
  </w:endnote>
  <w:endnote w:type="continuationSeparator" w:id="0">
    <w:p w:rsidR="00FD594B" w:rsidRDefault="00FD594B" w:rsidP="0072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EC" w:rsidRPr="007271EC" w:rsidRDefault="007271EC" w:rsidP="007271EC">
    <w:pPr>
      <w:tabs>
        <w:tab w:val="center" w:pos="4680"/>
        <w:tab w:val="right" w:pos="9360"/>
      </w:tabs>
      <w:spacing w:after="1440"/>
      <w:rPr>
        <w:rFonts w:ascii="Sylfaen" w:hAnsi="Sylfaen"/>
        <w:i/>
        <w:sz w:val="24"/>
        <w:lang w:val="ka-GE"/>
      </w:rPr>
    </w:pPr>
    <w:r w:rsidRPr="00BC1CA8">
      <w:rPr>
        <w:rFonts w:ascii="Sylfaen" w:hAnsi="Sylfaen"/>
        <w:i/>
        <w:sz w:val="24"/>
        <w:lang w:val="ka-GE"/>
      </w:rPr>
      <w:t>პროექტი - საჯარო განხილვისათვის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4B" w:rsidRDefault="00FD594B" w:rsidP="007271EC">
      <w:pPr>
        <w:spacing w:after="0" w:line="240" w:lineRule="auto"/>
      </w:pPr>
      <w:r>
        <w:separator/>
      </w:r>
    </w:p>
  </w:footnote>
  <w:footnote w:type="continuationSeparator" w:id="0">
    <w:p w:rsidR="00FD594B" w:rsidRDefault="00FD594B" w:rsidP="0072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40D"/>
    <w:multiLevelType w:val="hybridMultilevel"/>
    <w:tmpl w:val="43B29574"/>
    <w:lvl w:ilvl="0" w:tplc="3ABED3D6">
      <w:start w:val="1"/>
      <w:numFmt w:val="lowerLetter"/>
      <w:lvlText w:val="%1)"/>
      <w:lvlJc w:val="left"/>
      <w:pPr>
        <w:ind w:left="643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E55BB0"/>
    <w:multiLevelType w:val="multilevel"/>
    <w:tmpl w:val="6B80A99E"/>
    <w:lvl w:ilvl="0">
      <w:start w:val="1"/>
      <w:numFmt w:val="decimal"/>
      <w:lvlText w:val="%1"/>
      <w:lvlJc w:val="left"/>
      <w:pPr>
        <w:ind w:left="360" w:firstLine="0"/>
      </w:pPr>
      <w:rPr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b w:val="0"/>
        <w:sz w:val="22"/>
        <w:szCs w:val="22"/>
      </w:rPr>
    </w:lvl>
  </w:abstractNum>
  <w:abstractNum w:abstractNumId="2" w15:restartNumberingAfterBreak="0">
    <w:nsid w:val="7EA70E79"/>
    <w:multiLevelType w:val="multilevel"/>
    <w:tmpl w:val="ECD407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08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44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53ED"/>
    <w:rsid w:val="007271EC"/>
    <w:rsid w:val="00793145"/>
    <w:rsid w:val="00BA53ED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74F6"/>
  <w15:docId w15:val="{D80183AF-4370-4C0C-8B68-FA4C1EF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93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EC"/>
  </w:style>
  <w:style w:type="paragraph" w:styleId="Footer">
    <w:name w:val="footer"/>
    <w:basedOn w:val="Normal"/>
    <w:link w:val="FooterChar"/>
    <w:uiPriority w:val="99"/>
    <w:unhideWhenUsed/>
    <w:rsid w:val="0072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ნათია ბეროზაშვილი</cp:lastModifiedBy>
  <cp:revision>3</cp:revision>
  <dcterms:created xsi:type="dcterms:W3CDTF">2017-04-24T13:43:00Z</dcterms:created>
  <dcterms:modified xsi:type="dcterms:W3CDTF">2017-04-24T13:50:00Z</dcterms:modified>
</cp:coreProperties>
</file>